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8A" w:rsidRDefault="00A06E8A" w:rsidP="00A06E8A">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A06E8A" w:rsidRDefault="00A06E8A" w:rsidP="00A06E8A">
      <w:pPr>
        <w:ind w:left="720"/>
        <w:jc w:val="center"/>
        <w:rPr>
          <w:b/>
          <w:bCs/>
        </w:rPr>
      </w:pPr>
    </w:p>
    <w:p w:rsidR="00A06E8A" w:rsidRDefault="00A06E8A" w:rsidP="00A06E8A">
      <w:pPr>
        <w:ind w:left="720"/>
        <w:jc w:val="center"/>
        <w:rPr>
          <w:b/>
          <w:bCs/>
        </w:rPr>
      </w:pPr>
      <w:r>
        <w:rPr>
          <w:b/>
          <w:bCs/>
        </w:rPr>
        <w:t>By-law 21</w:t>
      </w:r>
      <w:r>
        <w:rPr>
          <w:b/>
          <w:bCs/>
        </w:rPr>
        <w:t>-2015</w:t>
      </w:r>
    </w:p>
    <w:p w:rsidR="00A06E8A" w:rsidRDefault="00A06E8A" w:rsidP="00A06E8A">
      <w:pPr>
        <w:ind w:left="720"/>
        <w:rPr>
          <w:b/>
          <w:bCs/>
        </w:rPr>
      </w:pPr>
    </w:p>
    <w:p w:rsidR="00A06E8A" w:rsidRDefault="00A06E8A" w:rsidP="00A06E8A">
      <w:pPr>
        <w:ind w:left="720"/>
        <w:rPr>
          <w:b/>
          <w:bCs/>
        </w:rPr>
      </w:pPr>
      <w:r>
        <w:rPr>
          <w:b/>
          <w:bCs/>
        </w:rPr>
        <w:t xml:space="preserve">Being a By-law of the Village of South River to </w:t>
      </w:r>
      <w:r>
        <w:rPr>
          <w:b/>
          <w:bCs/>
        </w:rPr>
        <w:t>amend Zoning By-law 17-95</w:t>
      </w:r>
    </w:p>
    <w:p w:rsidR="00A06E8A" w:rsidRDefault="00A06E8A" w:rsidP="00A06E8A">
      <w:pPr>
        <w:rPr>
          <w:b/>
          <w:bCs/>
        </w:rPr>
      </w:pPr>
    </w:p>
    <w:p w:rsidR="00A06E8A" w:rsidRDefault="00A06E8A" w:rsidP="00A06E8A">
      <w:r>
        <w:t xml:space="preserve">WHEREAS the Corporation of the Village of South River deems it </w:t>
      </w:r>
      <w:r>
        <w:t>advisable to amend By-law #17-95, as amended (the Comprehensive Zoning By-law of the Village of South River);</w:t>
      </w:r>
    </w:p>
    <w:p w:rsidR="00A06E8A" w:rsidRDefault="00A06E8A" w:rsidP="00A06E8A"/>
    <w:p w:rsidR="00A06E8A" w:rsidRPr="00A06E8A" w:rsidRDefault="00A06E8A" w:rsidP="00A06E8A">
      <w:r>
        <w:t>NOW THEREFORE the Council of the Corporation of the Village of</w:t>
      </w:r>
      <w:r>
        <w:t xml:space="preserve"> South River hereby enacts in accordance with Section 34 of the </w:t>
      </w:r>
      <w:r>
        <w:rPr>
          <w:i/>
        </w:rPr>
        <w:t>Planning Act, R.S.O. 1990, as amended,</w:t>
      </w:r>
      <w:r>
        <w:t xml:space="preserve"> the following:</w:t>
      </w:r>
    </w:p>
    <w:p w:rsidR="00A06E8A" w:rsidRDefault="00A06E8A" w:rsidP="00A06E8A"/>
    <w:p w:rsidR="00A06E8A" w:rsidRDefault="00A06E8A" w:rsidP="00A06E8A">
      <w:pPr>
        <w:pStyle w:val="ListParagraph"/>
        <w:numPr>
          <w:ilvl w:val="0"/>
          <w:numId w:val="2"/>
        </w:numPr>
      </w:pPr>
      <w:r>
        <w:t xml:space="preserve">That a new sub-section be added in Section 3 – </w:t>
      </w:r>
      <w:r>
        <w:rPr>
          <w:b/>
        </w:rPr>
        <w:t>General Provisions</w:t>
      </w:r>
      <w:r>
        <w:t xml:space="preserve"> immediately following sub-section 3 (29) as follows:</w:t>
      </w:r>
    </w:p>
    <w:p w:rsidR="00A06E8A" w:rsidRDefault="00A06E8A" w:rsidP="00A06E8A">
      <w:pPr>
        <w:pStyle w:val="ListParagraph"/>
      </w:pPr>
    </w:p>
    <w:p w:rsidR="00A06E8A" w:rsidRDefault="00A06E8A" w:rsidP="00A06E8A">
      <w:pPr>
        <w:pStyle w:val="ListParagraph"/>
      </w:pPr>
      <w:r>
        <w:t>“3 (30) On the lands shown hatched on Schedule “B” identified as Source Water Intake Protection Zone One (SW IPZ-1) the establishment of the following activites shall be prohibited specifically including:</w:t>
      </w:r>
    </w:p>
    <w:p w:rsidR="00A06E8A" w:rsidRDefault="00A06E8A" w:rsidP="00A06E8A">
      <w:pPr>
        <w:pStyle w:val="ListParagraph"/>
      </w:pPr>
    </w:p>
    <w:p w:rsidR="00A06E8A" w:rsidRDefault="00A06E8A" w:rsidP="00A06E8A">
      <w:pPr>
        <w:pStyle w:val="ListParagraph"/>
        <w:numPr>
          <w:ilvl w:val="0"/>
          <w:numId w:val="3"/>
        </w:numPr>
      </w:pPr>
      <w:r>
        <w:t>Pesticide storage including the retail sale, manufacturing, processing, and wholesaling;</w:t>
      </w:r>
    </w:p>
    <w:p w:rsidR="00A06E8A" w:rsidRDefault="00A06E8A" w:rsidP="00A06E8A">
      <w:pPr>
        <w:pStyle w:val="ListParagraph"/>
        <w:numPr>
          <w:ilvl w:val="0"/>
          <w:numId w:val="3"/>
        </w:numPr>
      </w:pPr>
      <w:r>
        <w:t>Road salt storage greater than 5,000 tonnes;</w:t>
      </w:r>
    </w:p>
    <w:p w:rsidR="00A06E8A" w:rsidRDefault="00A06E8A" w:rsidP="00A06E8A">
      <w:pPr>
        <w:pStyle w:val="ListParagraph"/>
        <w:numPr>
          <w:ilvl w:val="0"/>
          <w:numId w:val="3"/>
        </w:numPr>
      </w:pPr>
      <w:r>
        <w:t>Consolidated snow storage facility or snow dump (areas where snow is likely to be transported from offsite);</w:t>
      </w:r>
    </w:p>
    <w:p w:rsidR="00A06E8A" w:rsidRDefault="00A06E8A" w:rsidP="00A06E8A">
      <w:pPr>
        <w:pStyle w:val="ListParagraph"/>
        <w:numPr>
          <w:ilvl w:val="0"/>
          <w:numId w:val="3"/>
        </w:numPr>
      </w:pPr>
      <w:r>
        <w:t>The storage of agricultural source materials;</w:t>
      </w:r>
    </w:p>
    <w:p w:rsidR="00A06E8A" w:rsidRDefault="00A06E8A" w:rsidP="00A06E8A">
      <w:pPr>
        <w:pStyle w:val="ListParagraph"/>
        <w:numPr>
          <w:ilvl w:val="0"/>
          <w:numId w:val="3"/>
        </w:numPr>
      </w:pPr>
      <w:r>
        <w:t>The handling and storage of non-agricultural source material;</w:t>
      </w:r>
    </w:p>
    <w:p w:rsidR="00A06E8A" w:rsidRDefault="00A06E8A" w:rsidP="00A06E8A">
      <w:pPr>
        <w:pStyle w:val="ListParagraph"/>
        <w:numPr>
          <w:ilvl w:val="0"/>
          <w:numId w:val="3"/>
        </w:numPr>
      </w:pPr>
      <w:r>
        <w:t>The handling and storage of commercial fertilizer;</w:t>
      </w:r>
    </w:p>
    <w:p w:rsidR="00A06E8A" w:rsidRDefault="00A06E8A" w:rsidP="00A06E8A">
      <w:pPr>
        <w:pStyle w:val="ListParagraph"/>
        <w:numPr>
          <w:ilvl w:val="0"/>
          <w:numId w:val="3"/>
        </w:numPr>
      </w:pPr>
      <w:r>
        <w:t>The use of land as livestock grazing or pasturing land;</w:t>
      </w:r>
    </w:p>
    <w:p w:rsidR="00A06E8A" w:rsidRDefault="00A06E8A" w:rsidP="00A06E8A">
      <w:pPr>
        <w:pStyle w:val="ListParagraph"/>
        <w:numPr>
          <w:ilvl w:val="0"/>
          <w:numId w:val="3"/>
        </w:numPr>
      </w:pPr>
      <w:r>
        <w:t>An outdoor confinement area or farm-animal yard;</w:t>
      </w:r>
    </w:p>
    <w:p w:rsidR="00A06E8A" w:rsidRDefault="00A06E8A" w:rsidP="00A06E8A">
      <w:pPr>
        <w:pStyle w:val="ListParagraph"/>
        <w:numPr>
          <w:ilvl w:val="0"/>
          <w:numId w:val="3"/>
        </w:numPr>
      </w:pPr>
      <w:r>
        <w:t>Storage of tailings from mines or a mine tailings pond;</w:t>
      </w:r>
    </w:p>
    <w:p w:rsidR="00A06E8A" w:rsidRDefault="00A06E8A" w:rsidP="00A06E8A">
      <w:pPr>
        <w:pStyle w:val="ListParagraph"/>
        <w:numPr>
          <w:ilvl w:val="0"/>
          <w:numId w:val="3"/>
        </w:numPr>
      </w:pPr>
      <w:r>
        <w:t>An area for landfarming of petroleum refining/mining waste;</w:t>
      </w:r>
    </w:p>
    <w:p w:rsidR="00A06E8A" w:rsidRDefault="00A06E8A" w:rsidP="00A06E8A">
      <w:pPr>
        <w:pStyle w:val="ListParagraph"/>
        <w:numPr>
          <w:ilvl w:val="0"/>
          <w:numId w:val="3"/>
        </w:numPr>
      </w:pPr>
      <w:r>
        <w:t>The land filling of hazardous or municipal waste; and</w:t>
      </w:r>
    </w:p>
    <w:p w:rsidR="00A06E8A" w:rsidRDefault="00A06E8A" w:rsidP="00A06E8A">
      <w:pPr>
        <w:pStyle w:val="ListParagraph"/>
        <w:numPr>
          <w:ilvl w:val="0"/>
          <w:numId w:val="3"/>
        </w:numPr>
      </w:pPr>
      <w:r>
        <w:t>The land filling of solid non-hazardous industrial or commercial waste”.</w:t>
      </w:r>
    </w:p>
    <w:p w:rsidR="00A06E8A" w:rsidRDefault="00A06E8A" w:rsidP="00A06E8A">
      <w:pPr>
        <w:pStyle w:val="ListParagraph"/>
        <w:ind w:left="1440"/>
      </w:pPr>
    </w:p>
    <w:p w:rsidR="00A06E8A" w:rsidRDefault="00A06E8A" w:rsidP="00A06E8A">
      <w:pPr>
        <w:pStyle w:val="ListParagraph"/>
        <w:numPr>
          <w:ilvl w:val="0"/>
          <w:numId w:val="2"/>
        </w:numPr>
      </w:pPr>
      <w:r>
        <w:t xml:space="preserve">That a new definition be added in Section 2- </w:t>
      </w:r>
      <w:r>
        <w:rPr>
          <w:b/>
        </w:rPr>
        <w:t xml:space="preserve">Definitions </w:t>
      </w:r>
      <w:r>
        <w:t>immediately following Section “2 (1) Alter” as follows:</w:t>
      </w:r>
    </w:p>
    <w:p w:rsidR="00A06E8A" w:rsidRDefault="00A06E8A" w:rsidP="00A06E8A">
      <w:pPr>
        <w:pStyle w:val="ListParagraph"/>
      </w:pPr>
    </w:p>
    <w:p w:rsidR="00A06E8A" w:rsidRDefault="00A06E8A" w:rsidP="00A06E8A">
      <w:pPr>
        <w:pStyle w:val="ListParagraph"/>
      </w:pPr>
      <w:r>
        <w:t>“</w:t>
      </w:r>
      <w:r w:rsidR="00790634" w:rsidRPr="00790634">
        <w:rPr>
          <w:b/>
        </w:rPr>
        <w:t>2 (1.1)</w:t>
      </w:r>
      <w:r w:rsidR="00790634">
        <w:tab/>
      </w:r>
      <w:r w:rsidR="00790634">
        <w:rPr>
          <w:b/>
        </w:rPr>
        <w:t xml:space="preserve">Agricultural Source Material: </w:t>
      </w:r>
      <w:r w:rsidR="00790634">
        <w:t xml:space="preserve">material used for land application of nutrients that originate from agricultural activities such as livestock operations. May include manure, livestock bedding, runoff water from animal yards or manure storage and compost (see </w:t>
      </w:r>
      <w:r w:rsidR="00790634">
        <w:rPr>
          <w:i/>
        </w:rPr>
        <w:t xml:space="preserve">Nutrient management Act, 2002 </w:t>
      </w:r>
      <w:r w:rsidR="00790634">
        <w:t>for legal description)”.</w:t>
      </w:r>
    </w:p>
    <w:p w:rsidR="00790634" w:rsidRDefault="00790634" w:rsidP="00A06E8A">
      <w:pPr>
        <w:pStyle w:val="ListParagraph"/>
      </w:pPr>
    </w:p>
    <w:p w:rsidR="00790634" w:rsidRDefault="00790634" w:rsidP="00790634">
      <w:pPr>
        <w:pStyle w:val="ListParagraph"/>
        <w:numPr>
          <w:ilvl w:val="0"/>
          <w:numId w:val="2"/>
        </w:numPr>
      </w:pPr>
      <w:r>
        <w:t xml:space="preserve">That a new definition be added in Section 2- </w:t>
      </w:r>
      <w:r>
        <w:rPr>
          <w:b/>
        </w:rPr>
        <w:t>Definitions</w:t>
      </w:r>
      <w:r>
        <w:t xml:space="preserve"> immediately following Section “2 (55) Household Unit” as follows:</w:t>
      </w:r>
    </w:p>
    <w:p w:rsidR="00790634" w:rsidRDefault="00790634" w:rsidP="00790634">
      <w:pPr>
        <w:pStyle w:val="ListParagraph"/>
      </w:pPr>
    </w:p>
    <w:p w:rsidR="00790634" w:rsidRDefault="00790634" w:rsidP="00790634">
      <w:pPr>
        <w:pStyle w:val="ListParagraph"/>
      </w:pPr>
      <w:r>
        <w:t>“</w:t>
      </w:r>
      <w:r w:rsidRPr="00790634">
        <w:rPr>
          <w:b/>
        </w:rPr>
        <w:t>2 (55.1)</w:t>
      </w:r>
      <w:r>
        <w:tab/>
      </w:r>
      <w:r>
        <w:rPr>
          <w:b/>
        </w:rPr>
        <w:t xml:space="preserve">Landfarming: </w:t>
      </w:r>
      <w:r>
        <w:t>means the biodegradation of petroleum refining wastes by naturally occurring soil bacteria by means of controlled application of the wastes to land followed by periodic tilling.”</w:t>
      </w:r>
    </w:p>
    <w:p w:rsidR="00790634" w:rsidRDefault="00790634" w:rsidP="00790634">
      <w:pPr>
        <w:pStyle w:val="ListParagraph"/>
      </w:pPr>
    </w:p>
    <w:p w:rsidR="00790634" w:rsidRDefault="00790634" w:rsidP="00790634">
      <w:pPr>
        <w:pStyle w:val="ListParagraph"/>
        <w:numPr>
          <w:ilvl w:val="0"/>
          <w:numId w:val="2"/>
        </w:numPr>
      </w:pPr>
      <w:r>
        <w:t xml:space="preserve">That a new definition be added in Section 2 </w:t>
      </w:r>
      <w:r>
        <w:rPr>
          <w:b/>
        </w:rPr>
        <w:t>Definitions</w:t>
      </w:r>
      <w:r>
        <w:t xml:space="preserve"> immediately following Section “2 (63) Mobile Home Park” as follows:</w:t>
      </w:r>
    </w:p>
    <w:p w:rsidR="00790634" w:rsidRDefault="00790634" w:rsidP="00790634">
      <w:pPr>
        <w:pStyle w:val="ListParagraph"/>
      </w:pPr>
    </w:p>
    <w:p w:rsidR="00790634" w:rsidRDefault="00790634" w:rsidP="00790634">
      <w:pPr>
        <w:pStyle w:val="ListParagraph"/>
      </w:pPr>
      <w:r>
        <w:t>“</w:t>
      </w:r>
      <w:r w:rsidRPr="00790634">
        <w:rPr>
          <w:b/>
        </w:rPr>
        <w:t>2.(63.1)</w:t>
      </w:r>
      <w:r>
        <w:rPr>
          <w:b/>
        </w:rPr>
        <w:tab/>
      </w:r>
      <w:r>
        <w:t xml:space="preserve"> </w:t>
      </w:r>
      <w:r>
        <w:rPr>
          <w:b/>
        </w:rPr>
        <w:t xml:space="preserve">Non-Agricultural Source Material: </w:t>
      </w:r>
      <w:r>
        <w:t>used to apply to land as nutrients that do not originate from agricultural act</w:t>
      </w:r>
      <w:r w:rsidR="00787331">
        <w:t>i</w:t>
      </w:r>
      <w:r>
        <w:t xml:space="preserve">vities. Includes pulp and paper biosolids, sewage biosolids, non-agricultural compost and any other material capable of being applied to land as a nutrient that is not from an agricultural source (see </w:t>
      </w:r>
      <w:r>
        <w:rPr>
          <w:i/>
        </w:rPr>
        <w:t xml:space="preserve">Nutrient management Act, 2002 </w:t>
      </w:r>
      <w:r>
        <w:t>for legal description</w:t>
      </w:r>
      <w:r w:rsidR="00787331">
        <w:t>).”</w:t>
      </w:r>
    </w:p>
    <w:p w:rsidR="00787331" w:rsidRDefault="00787331" w:rsidP="00790634">
      <w:pPr>
        <w:pStyle w:val="ListParagraph"/>
      </w:pPr>
    </w:p>
    <w:p w:rsidR="00787331" w:rsidRDefault="00787331" w:rsidP="00787331">
      <w:pPr>
        <w:pStyle w:val="ListParagraph"/>
        <w:numPr>
          <w:ilvl w:val="0"/>
          <w:numId w:val="2"/>
        </w:numPr>
      </w:pPr>
      <w:r>
        <w:t>That Schedule “B” is inserted in zoning by-law number 17-95, as amended immediately following Schedule “A”.</w:t>
      </w:r>
    </w:p>
    <w:p w:rsidR="00787331" w:rsidRDefault="00787331" w:rsidP="00787331">
      <w:bookmarkStart w:id="0" w:name="_GoBack"/>
      <w:bookmarkEnd w:id="0"/>
    </w:p>
    <w:p w:rsidR="00787331" w:rsidRDefault="00787331" w:rsidP="00787331">
      <w:pPr>
        <w:pStyle w:val="ListParagraph"/>
        <w:numPr>
          <w:ilvl w:val="0"/>
          <w:numId w:val="2"/>
        </w:numPr>
      </w:pPr>
      <w:r>
        <w:lastRenderedPageBreak/>
        <w:t>Schedule “B”, attached hereto, is hereby made part of this by-law.</w:t>
      </w:r>
    </w:p>
    <w:p w:rsidR="00787331" w:rsidRDefault="00787331" w:rsidP="00787331">
      <w:pPr>
        <w:pStyle w:val="ListParagraph"/>
      </w:pPr>
    </w:p>
    <w:p w:rsidR="00A06E8A" w:rsidRPr="00B7627B" w:rsidRDefault="00A06E8A" w:rsidP="00A06E8A">
      <w:r>
        <w:t xml:space="preserve">READ A FIRST, SECOND AND THIRD TIME AND FINALLY PASSED THIS </w:t>
      </w:r>
      <w:r w:rsidR="00787331">
        <w:t>8</w:t>
      </w:r>
      <w:r>
        <w:t>th</w:t>
      </w:r>
      <w:r>
        <w:rPr>
          <w:bCs/>
        </w:rPr>
        <w:t xml:space="preserve"> DAY OF </w:t>
      </w:r>
      <w:r w:rsidR="00787331">
        <w:rPr>
          <w:bCs/>
        </w:rPr>
        <w:t>JUNE</w:t>
      </w:r>
      <w:r w:rsidRPr="00B7627B">
        <w:rPr>
          <w:bCs/>
        </w:rPr>
        <w:t>, 2015</w:t>
      </w:r>
    </w:p>
    <w:p w:rsidR="00A06E8A" w:rsidRDefault="00A06E8A" w:rsidP="00A06E8A"/>
    <w:p w:rsidR="00A06E8A" w:rsidRDefault="00A06E8A" w:rsidP="00A06E8A"/>
    <w:p w:rsidR="00A06E8A" w:rsidRDefault="00A06E8A" w:rsidP="00A06E8A"/>
    <w:p w:rsidR="00A06E8A" w:rsidRDefault="00A06E8A" w:rsidP="00A06E8A">
      <w:pPr>
        <w:tabs>
          <w:tab w:val="right" w:pos="9360"/>
        </w:tabs>
        <w:rPr>
          <w:u w:val="single"/>
        </w:rPr>
      </w:pPr>
      <w:r>
        <w:tab/>
      </w:r>
      <w:r>
        <w:rPr>
          <w:u w:val="single"/>
        </w:rPr>
        <w:t xml:space="preserve">                                                            </w:t>
      </w:r>
    </w:p>
    <w:p w:rsidR="00A06E8A" w:rsidRDefault="00A06E8A" w:rsidP="00A06E8A">
      <w:pPr>
        <w:tabs>
          <w:tab w:val="right" w:pos="9360"/>
        </w:tabs>
        <w:jc w:val="right"/>
      </w:pPr>
      <w:r>
        <w:tab/>
        <w:t xml:space="preserve">_________________________________ </w:t>
      </w:r>
    </w:p>
    <w:p w:rsidR="00A06E8A" w:rsidRDefault="00A06E8A" w:rsidP="00A06E8A">
      <w:pPr>
        <w:jc w:val="center"/>
      </w:pPr>
      <w:r>
        <w:t xml:space="preserve">                                                           Jim Coleman, Mayor   </w:t>
      </w:r>
    </w:p>
    <w:p w:rsidR="00A06E8A" w:rsidRDefault="00A06E8A" w:rsidP="00A06E8A">
      <w:pPr>
        <w:ind w:right="-720"/>
        <w:jc w:val="right"/>
      </w:pPr>
    </w:p>
    <w:p w:rsidR="00A06E8A" w:rsidRDefault="00A06E8A" w:rsidP="00A06E8A">
      <w:pPr>
        <w:ind w:right="-720"/>
        <w:jc w:val="right"/>
      </w:pPr>
    </w:p>
    <w:p w:rsidR="00A06E8A" w:rsidRDefault="00A06E8A" w:rsidP="00A06E8A">
      <w:pPr>
        <w:ind w:right="-720"/>
        <w:jc w:val="right"/>
      </w:pPr>
      <w:r>
        <w:t>_______________________________________</w:t>
      </w:r>
    </w:p>
    <w:p w:rsidR="00A06E8A" w:rsidRDefault="00A06E8A" w:rsidP="00A06E8A">
      <w:r>
        <w:t xml:space="preserve">                                                                                          Susan L. Arnold, Clerk Administrator</w:t>
      </w:r>
    </w:p>
    <w:p w:rsidR="00A06E8A" w:rsidRDefault="00A06E8A" w:rsidP="00A06E8A"/>
    <w:p w:rsidR="00A06E8A" w:rsidRDefault="00A06E8A" w:rsidP="00A06E8A"/>
    <w:p w:rsidR="001E1150" w:rsidRDefault="001E1150"/>
    <w:sectPr w:rsidR="001E1150" w:rsidSect="00A06E8A">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331" w:rsidRDefault="00787331" w:rsidP="00787331">
      <w:r>
        <w:separator/>
      </w:r>
    </w:p>
  </w:endnote>
  <w:endnote w:type="continuationSeparator" w:id="0">
    <w:p w:rsidR="00787331" w:rsidRDefault="00787331" w:rsidP="0078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486307"/>
      <w:docPartObj>
        <w:docPartGallery w:val="Page Numbers (Bottom of Page)"/>
        <w:docPartUnique/>
      </w:docPartObj>
    </w:sdtPr>
    <w:sdtContent>
      <w:sdt>
        <w:sdtPr>
          <w:id w:val="860082579"/>
          <w:docPartObj>
            <w:docPartGallery w:val="Page Numbers (Top of Page)"/>
            <w:docPartUnique/>
          </w:docPartObj>
        </w:sdtPr>
        <w:sdtContent>
          <w:p w:rsidR="00787331" w:rsidRDefault="0078733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787331" w:rsidRDefault="00787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331" w:rsidRDefault="00787331" w:rsidP="00787331">
      <w:r>
        <w:separator/>
      </w:r>
    </w:p>
  </w:footnote>
  <w:footnote w:type="continuationSeparator" w:id="0">
    <w:p w:rsidR="00787331" w:rsidRDefault="00787331" w:rsidP="00787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3BD5CE2"/>
    <w:multiLevelType w:val="hybridMultilevel"/>
    <w:tmpl w:val="14FEC7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3E91E29"/>
    <w:multiLevelType w:val="hybridMultilevel"/>
    <w:tmpl w:val="725ED8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8A"/>
    <w:rsid w:val="001E1150"/>
    <w:rsid w:val="00787331"/>
    <w:rsid w:val="00790634"/>
    <w:rsid w:val="00A06E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E8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06E8A"/>
    <w:pPr>
      <w:numPr>
        <w:numId w:val="1"/>
      </w:numPr>
      <w:ind w:left="720" w:hanging="720"/>
      <w:outlineLvl w:val="0"/>
    </w:pPr>
  </w:style>
  <w:style w:type="paragraph" w:styleId="ListParagraph">
    <w:name w:val="List Paragraph"/>
    <w:basedOn w:val="Normal"/>
    <w:uiPriority w:val="34"/>
    <w:qFormat/>
    <w:rsid w:val="00A06E8A"/>
    <w:pPr>
      <w:ind w:left="720"/>
      <w:contextualSpacing/>
    </w:pPr>
  </w:style>
  <w:style w:type="paragraph" w:styleId="Header">
    <w:name w:val="header"/>
    <w:basedOn w:val="Normal"/>
    <w:link w:val="HeaderChar"/>
    <w:uiPriority w:val="99"/>
    <w:unhideWhenUsed/>
    <w:rsid w:val="00787331"/>
    <w:pPr>
      <w:tabs>
        <w:tab w:val="center" w:pos="4680"/>
        <w:tab w:val="right" w:pos="9360"/>
      </w:tabs>
    </w:pPr>
  </w:style>
  <w:style w:type="character" w:customStyle="1" w:styleId="HeaderChar">
    <w:name w:val="Header Char"/>
    <w:basedOn w:val="DefaultParagraphFont"/>
    <w:link w:val="Header"/>
    <w:uiPriority w:val="99"/>
    <w:rsid w:val="0078733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87331"/>
    <w:pPr>
      <w:tabs>
        <w:tab w:val="center" w:pos="4680"/>
        <w:tab w:val="right" w:pos="9360"/>
      </w:tabs>
    </w:pPr>
  </w:style>
  <w:style w:type="character" w:customStyle="1" w:styleId="FooterChar">
    <w:name w:val="Footer Char"/>
    <w:basedOn w:val="DefaultParagraphFont"/>
    <w:link w:val="Footer"/>
    <w:uiPriority w:val="99"/>
    <w:rsid w:val="0078733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E8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06E8A"/>
    <w:pPr>
      <w:numPr>
        <w:numId w:val="1"/>
      </w:numPr>
      <w:ind w:left="720" w:hanging="720"/>
      <w:outlineLvl w:val="0"/>
    </w:pPr>
  </w:style>
  <w:style w:type="paragraph" w:styleId="ListParagraph">
    <w:name w:val="List Paragraph"/>
    <w:basedOn w:val="Normal"/>
    <w:uiPriority w:val="34"/>
    <w:qFormat/>
    <w:rsid w:val="00A06E8A"/>
    <w:pPr>
      <w:ind w:left="720"/>
      <w:contextualSpacing/>
    </w:pPr>
  </w:style>
  <w:style w:type="paragraph" w:styleId="Header">
    <w:name w:val="header"/>
    <w:basedOn w:val="Normal"/>
    <w:link w:val="HeaderChar"/>
    <w:uiPriority w:val="99"/>
    <w:unhideWhenUsed/>
    <w:rsid w:val="00787331"/>
    <w:pPr>
      <w:tabs>
        <w:tab w:val="center" w:pos="4680"/>
        <w:tab w:val="right" w:pos="9360"/>
      </w:tabs>
    </w:pPr>
  </w:style>
  <w:style w:type="character" w:customStyle="1" w:styleId="HeaderChar">
    <w:name w:val="Header Char"/>
    <w:basedOn w:val="DefaultParagraphFont"/>
    <w:link w:val="Header"/>
    <w:uiPriority w:val="99"/>
    <w:rsid w:val="0078733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87331"/>
    <w:pPr>
      <w:tabs>
        <w:tab w:val="center" w:pos="4680"/>
        <w:tab w:val="right" w:pos="9360"/>
      </w:tabs>
    </w:pPr>
  </w:style>
  <w:style w:type="character" w:customStyle="1" w:styleId="FooterChar">
    <w:name w:val="Footer Char"/>
    <w:basedOn w:val="DefaultParagraphFont"/>
    <w:link w:val="Footer"/>
    <w:uiPriority w:val="99"/>
    <w:rsid w:val="0078733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2015-06-05T15:22:00Z</cp:lastPrinted>
  <dcterms:created xsi:type="dcterms:W3CDTF">2015-06-05T14:58:00Z</dcterms:created>
  <dcterms:modified xsi:type="dcterms:W3CDTF">2015-06-05T15:23:00Z</dcterms:modified>
</cp:coreProperties>
</file>